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008/PK/PA-FSR/I/2022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ASHFRI PUTRALORA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ASHFRI PUTRALORA DAN PT. BANK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Menteng Utama III Blok FB.11 No.26-28 Bintaro sektor 7 Tangerang Selatan.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Al Khab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082372297548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Kosong dan 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 Kelurahan Talang Bakung,KecamatanJambi Selatan,Kota Jambi, Provinsi Jambi
- Kelurahan Jalupang,Kecamatan Serpong, Kabupaten Tagerang,Provinsi Jawa Barat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17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18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