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084/PK/PA-FSR/VIII/2024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PT.Djambi waras</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koplu A gultom Rt.06 kelurahan tanjung johor kecamatan pelayangan kota jambi,provinsi jambi</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Pabrik Karet, yang terdiri dari tanah dengan luas 154.415 m², bangunan-bangunan dengan luas total (perkiraan awal) ±66.589 m², mesin dan utilitas, sarana pelengkap, dan alat berat</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Lintas Sumatera Km. 54, Kelurahan Sirih Sekapur, Kecamatan Jujuhan, Kabupaten Bungo, Provinsi Jambi.</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