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089/PK/PA-FSR/VIII/2024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PT.Nusira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Pertanahan no.70-A Kelurahan Timbang deli,kecamatan amplas kota medan.provinsi sumatera utara</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52.154 m², bangunan-bangunan dengan luas total (perkiraan awal) ±38.944 m², mesin dan utilitas, sarana pelengkap,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Pertahanan No. 70A, Timbang Deli, Kelurahan Amplas, Kecamatan Medan Amplas,  Kota Medan, Provinsi Sumatera Utara.</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